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eastAsia="黑体"/>
          <w:color w:val="000000"/>
          <w:sz w:val="32"/>
          <w:szCs w:val="32"/>
          <w:lang w:eastAsia="zh-CN"/>
        </w:rPr>
      </w:pPr>
      <w:r>
        <w:rPr>
          <w:rFonts w:eastAsia="黑体"/>
          <w:color w:val="000000"/>
          <w:sz w:val="32"/>
          <w:szCs w:val="32"/>
          <w:lang w:eastAsia="zh-CN"/>
        </w:rPr>
        <w:t>附件</w:t>
      </w:r>
      <w:r>
        <w:rPr>
          <w:rFonts w:hint="eastAsia" w:eastAsia="黑体"/>
          <w:color w:val="000000"/>
          <w:sz w:val="32"/>
          <w:szCs w:val="32"/>
          <w:lang w:eastAsia="zh-CN"/>
        </w:rPr>
        <w:t>1</w:t>
      </w:r>
    </w:p>
    <w:p>
      <w:pPr>
        <w:jc w:val="center"/>
        <w:textAlignment w:val="center"/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lang w:eastAsia="zh-CN"/>
        </w:rPr>
        <w:t>部门（单位）整体绩效自评表</w:t>
      </w:r>
    </w:p>
    <w:p>
      <w:pPr>
        <w:jc w:val="center"/>
        <w:textAlignment w:val="center"/>
        <w:rPr>
          <w:rFonts w:eastAsia="方正小标宋简体"/>
          <w:color w:val="000000"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975"/>
        <w:gridCol w:w="1083"/>
        <w:gridCol w:w="740"/>
        <w:gridCol w:w="652"/>
        <w:gridCol w:w="431"/>
        <w:gridCol w:w="1209"/>
        <w:gridCol w:w="628"/>
        <w:gridCol w:w="530"/>
        <w:gridCol w:w="807"/>
        <w:gridCol w:w="1403"/>
        <w:gridCol w:w="1581"/>
        <w:gridCol w:w="1122"/>
        <w:gridCol w:w="9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部门（单位）名称</w:t>
            </w:r>
          </w:p>
        </w:tc>
        <w:tc>
          <w:tcPr>
            <w:tcW w:w="100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中共香河县委县直机关工作委员会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联系人</w:t>
            </w:r>
          </w:p>
        </w:tc>
        <w:tc>
          <w:tcPr>
            <w:tcW w:w="36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彰文娟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联系电话</w:t>
            </w:r>
          </w:p>
        </w:tc>
        <w:tc>
          <w:tcPr>
            <w:tcW w:w="50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8311275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评价时段</w:t>
            </w:r>
          </w:p>
        </w:tc>
        <w:tc>
          <w:tcPr>
            <w:tcW w:w="100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540" w:firstLineChars="300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7"/>
                <w:rFonts w:eastAsia="仿宋_GB2312"/>
                <w:lang w:eastAsia="zh-CN"/>
              </w:rPr>
              <w:t xml:space="preserve">  2019</w:t>
            </w:r>
            <w:r>
              <w:rPr>
                <w:rStyle w:val="6"/>
                <w:rFonts w:ascii="Times New Roman"/>
                <w:lang w:eastAsia="zh-CN"/>
              </w:rPr>
              <w:t>年</w:t>
            </w:r>
            <w:r>
              <w:rPr>
                <w:rStyle w:val="7"/>
                <w:rFonts w:eastAsia="仿宋_GB2312"/>
                <w:lang w:eastAsia="zh-CN"/>
              </w:rPr>
              <w:t xml:space="preserve"> 1 </w:t>
            </w:r>
            <w:r>
              <w:rPr>
                <w:rStyle w:val="6"/>
                <w:rFonts w:ascii="Times New Roman"/>
                <w:lang w:eastAsia="zh-CN"/>
              </w:rPr>
              <w:t>月</w:t>
            </w:r>
            <w:r>
              <w:rPr>
                <w:rStyle w:val="7"/>
                <w:rFonts w:eastAsia="仿宋_GB2312"/>
                <w:lang w:eastAsia="zh-CN"/>
              </w:rPr>
              <w:t xml:space="preserve">  1 </w:t>
            </w:r>
            <w:r>
              <w:rPr>
                <w:rStyle w:val="6"/>
                <w:rFonts w:ascii="Times New Roman"/>
                <w:lang w:eastAsia="zh-CN"/>
              </w:rPr>
              <w:t>日</w:t>
            </w:r>
            <w:r>
              <w:rPr>
                <w:rStyle w:val="7"/>
                <w:rFonts w:eastAsia="仿宋_GB2312"/>
                <w:lang w:eastAsia="zh-CN"/>
              </w:rPr>
              <w:t xml:space="preserve"> </w:t>
            </w:r>
            <w:r>
              <w:rPr>
                <w:rStyle w:val="6"/>
                <w:rFonts w:ascii="Times New Roman"/>
                <w:lang w:eastAsia="zh-CN"/>
              </w:rPr>
              <w:t>至</w:t>
            </w:r>
            <w:r>
              <w:rPr>
                <w:rStyle w:val="7"/>
                <w:rFonts w:eastAsia="仿宋_GB2312"/>
                <w:lang w:eastAsia="zh-CN"/>
              </w:rPr>
              <w:t xml:space="preserve">  2019</w:t>
            </w:r>
            <w:r>
              <w:rPr>
                <w:rStyle w:val="6"/>
                <w:rFonts w:ascii="Times New Roman"/>
                <w:lang w:eastAsia="zh-CN"/>
              </w:rPr>
              <w:t>年</w:t>
            </w:r>
            <w:r>
              <w:rPr>
                <w:rStyle w:val="7"/>
                <w:rFonts w:eastAsia="仿宋_GB2312"/>
                <w:lang w:eastAsia="zh-CN"/>
              </w:rPr>
              <w:t xml:space="preserve"> 12 </w:t>
            </w:r>
            <w:r>
              <w:rPr>
                <w:rStyle w:val="6"/>
                <w:rFonts w:ascii="Times New Roman"/>
                <w:lang w:eastAsia="zh-CN"/>
              </w:rPr>
              <w:t>月</w:t>
            </w:r>
            <w:r>
              <w:rPr>
                <w:rStyle w:val="7"/>
                <w:rFonts w:eastAsia="仿宋_GB2312"/>
                <w:lang w:eastAsia="zh-CN"/>
              </w:rPr>
              <w:t xml:space="preserve"> 31 </w:t>
            </w:r>
            <w:r>
              <w:rPr>
                <w:rStyle w:val="6"/>
                <w:rFonts w:ascii="Times New Roman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年度部门（单位）预算执行情况</w:t>
            </w:r>
          </w:p>
        </w:tc>
        <w:tc>
          <w:tcPr>
            <w:tcW w:w="47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预算收入（万元）</w:t>
            </w:r>
          </w:p>
        </w:tc>
        <w:tc>
          <w:tcPr>
            <w:tcW w:w="64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预算支出（万元）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收入科目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年初预算数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调整预算数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决算数</w:t>
            </w:r>
          </w:p>
        </w:tc>
        <w:tc>
          <w:tcPr>
            <w:tcW w:w="2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支出科目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年初预算数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调整预算数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决算数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财政拨款收入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215.03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218.99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218.89</w:t>
            </w:r>
          </w:p>
        </w:tc>
        <w:tc>
          <w:tcPr>
            <w:tcW w:w="2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人员经费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172.4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155.81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155.81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上级补助收入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日常公用经费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42.63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63.18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63.18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事业收入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专项公用支出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经营收入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专项项目支出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附属单位上缴收入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其他收入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本年收入合计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215.03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218.99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218.89</w:t>
            </w:r>
          </w:p>
        </w:tc>
        <w:tc>
          <w:tcPr>
            <w:tcW w:w="2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本年支出合计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18"/>
                <w:szCs w:val="18"/>
                <w:lang w:val="en-US" w:eastAsia="zh-CN" w:bidi="ar-SA"/>
              </w:rPr>
              <w:t>237.03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240.99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18"/>
                <w:szCs w:val="18"/>
                <w:lang w:val="en-US" w:eastAsia="zh-CN" w:bidi="ar-SA"/>
              </w:rPr>
              <w:t>239.79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年度主要任务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重点工作任务名称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重点工作任务完成情况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拟对应安排的重点项目</w:t>
            </w:r>
            <w:r>
              <w:rPr>
                <w:rStyle w:val="7"/>
                <w:rFonts w:eastAsia="仿宋_GB2312"/>
                <w:lang w:eastAsia="zh-CN"/>
              </w:rPr>
              <w:t xml:space="preserve">  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项目完成情况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预算数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（万元）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其中：财政拨款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执行数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（万元）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其中：财政拨款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群众满意度测评工作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完成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群众满意度测评工作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13.8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金额合计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13.8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</w:tr>
    </w:tbl>
    <w:p>
      <w:pPr>
        <w:spacing w:line="40" w:lineRule="exact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534"/>
        <w:gridCol w:w="704"/>
        <w:gridCol w:w="665"/>
        <w:gridCol w:w="784"/>
        <w:gridCol w:w="531"/>
        <w:gridCol w:w="1261"/>
        <w:gridCol w:w="3889"/>
        <w:gridCol w:w="2940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一级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指标</w:t>
            </w: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二级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指标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ascii="Times New Roman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三级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指标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目标值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ascii="Times New Roman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自评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实际值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权重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数据来源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指标解释</w:t>
            </w:r>
            <w:r>
              <w:rPr>
                <w:rStyle w:val="7"/>
                <w:rFonts w:eastAsia="仿宋_GB2312"/>
                <w:lang w:eastAsia="zh-CN"/>
              </w:rPr>
              <w:t>*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评分规则*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部门管理（</w:t>
            </w:r>
            <w:r>
              <w:rPr>
                <w:rStyle w:val="7"/>
                <w:rFonts w:eastAsia="仿宋_GB2312"/>
                <w:lang w:eastAsia="zh-CN"/>
              </w:rPr>
              <w:t>40</w:t>
            </w:r>
            <w:r>
              <w:rPr>
                <w:rStyle w:val="6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资金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投入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预算完成率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≥95%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99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预算完成率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（预算完成数</w:t>
            </w:r>
            <w:r>
              <w:rPr>
                <w:rStyle w:val="7"/>
                <w:rFonts w:eastAsia="仿宋_GB2312"/>
                <w:lang w:eastAsia="zh-CN"/>
              </w:rPr>
              <w:t>/</w:t>
            </w:r>
            <w:r>
              <w:rPr>
                <w:rStyle w:val="6"/>
                <w:rFonts w:ascii="Times New Roman"/>
                <w:lang w:eastAsia="zh-CN"/>
              </w:rPr>
              <w:t>调整预算数）</w:t>
            </w:r>
            <w:r>
              <w:rPr>
                <w:rStyle w:val="7"/>
                <w:rFonts w:eastAsia="仿宋_GB2312"/>
                <w:lang w:eastAsia="zh-CN"/>
              </w:rPr>
              <w:t>×100%</w:t>
            </w:r>
            <w:r>
              <w:rPr>
                <w:rStyle w:val="6"/>
                <w:rFonts w:ascii="Times New Roman"/>
                <w:lang w:eastAsia="zh-CN"/>
              </w:rPr>
              <w:t>。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预算完成数为决算报表中本年支出决算数，调整预算数为决算报表中的本年支出调整预算数。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1.预算完成率大于或等于95%的，得满分；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2.预算完成率小于或等于85%的，得0分；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3.预算完成率在85%—95%之间的，在0分和满分之间计算确定：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得分=（实际值-85%）/10%*权重。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预算调整率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预算调整率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（预算调整数</w:t>
            </w:r>
            <w:r>
              <w:rPr>
                <w:rStyle w:val="7"/>
                <w:rFonts w:eastAsia="仿宋_GB2312"/>
                <w:lang w:eastAsia="zh-CN"/>
              </w:rPr>
              <w:t>/</w:t>
            </w:r>
            <w:r>
              <w:rPr>
                <w:rStyle w:val="6"/>
                <w:rFonts w:ascii="Times New Roman"/>
                <w:lang w:eastAsia="zh-CN"/>
              </w:rPr>
              <w:t>年初预算数）</w:t>
            </w:r>
            <w:r>
              <w:rPr>
                <w:rStyle w:val="7"/>
                <w:rFonts w:eastAsia="仿宋_GB2312"/>
                <w:lang w:eastAsia="zh-CN"/>
              </w:rPr>
              <w:t>×100%</w:t>
            </w:r>
            <w:r>
              <w:rPr>
                <w:rStyle w:val="6"/>
                <w:rFonts w:ascii="Times New Roman"/>
                <w:lang w:eastAsia="zh-CN"/>
              </w:rPr>
              <w:t>。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预算调整数：部门（单位）在本年度内涉及预算的追加、追减或结构调整的资金总和（因落实国家政策、发生不可抗力、上级部门或本级党委政府临时交办而产生的调整除外）。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1.预算调整率等于0的，得满分；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2.预算调整率增幅或降幅大于等于5%的，得0分；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3.预算调整率在0—5%之间的，在0分和满分之间计算确定：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得分=（5%-|实际值|）/5%*权重；|实际值|为实际值的绝对值。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 w:hRule="atLeast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支出进度率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≥100%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预算管理一体化平台、部门决算报表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支付进度率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（</w:t>
            </w:r>
            <w:r>
              <w:rPr>
                <w:rStyle w:val="7"/>
                <w:rFonts w:eastAsia="仿宋_GB2312"/>
                <w:lang w:eastAsia="zh-CN"/>
              </w:rPr>
              <w:t>6</w:t>
            </w:r>
            <w:r>
              <w:rPr>
                <w:rStyle w:val="6"/>
                <w:rFonts w:ascii="Times New Roman"/>
                <w:lang w:eastAsia="zh-CN"/>
              </w:rPr>
              <w:t>月末实际支付进度</w:t>
            </w:r>
            <w:r>
              <w:rPr>
                <w:rStyle w:val="7"/>
                <w:rFonts w:eastAsia="仿宋_GB2312"/>
                <w:lang w:eastAsia="zh-CN"/>
              </w:rPr>
              <w:t>/6</w:t>
            </w:r>
            <w:r>
              <w:rPr>
                <w:rStyle w:val="6"/>
                <w:rFonts w:ascii="Times New Roman"/>
                <w:lang w:eastAsia="zh-CN"/>
              </w:rPr>
              <w:t>月末序时支付进度）</w:t>
            </w:r>
            <w:r>
              <w:rPr>
                <w:rStyle w:val="7"/>
                <w:rFonts w:eastAsia="仿宋_GB2312"/>
                <w:lang w:eastAsia="zh-CN"/>
              </w:rPr>
              <w:t>×1/6+</w:t>
            </w:r>
            <w:r>
              <w:rPr>
                <w:rStyle w:val="6"/>
                <w:rFonts w:ascii="Times New Roman"/>
                <w:lang w:eastAsia="zh-CN"/>
              </w:rPr>
              <w:t>（</w:t>
            </w:r>
            <w:r>
              <w:rPr>
                <w:rStyle w:val="7"/>
                <w:rFonts w:eastAsia="仿宋_GB2312"/>
                <w:lang w:eastAsia="zh-CN"/>
              </w:rPr>
              <w:t>9</w:t>
            </w:r>
            <w:r>
              <w:rPr>
                <w:rStyle w:val="6"/>
                <w:rFonts w:ascii="Times New Roman"/>
                <w:lang w:eastAsia="zh-CN"/>
              </w:rPr>
              <w:t>月末实际支付进度</w:t>
            </w:r>
            <w:r>
              <w:rPr>
                <w:rStyle w:val="7"/>
                <w:rFonts w:eastAsia="仿宋_GB2312"/>
                <w:lang w:eastAsia="zh-CN"/>
              </w:rPr>
              <w:t>/9</w:t>
            </w:r>
            <w:r>
              <w:rPr>
                <w:rStyle w:val="6"/>
                <w:rFonts w:ascii="Times New Roman"/>
                <w:lang w:eastAsia="zh-CN"/>
              </w:rPr>
              <w:t>月末序时支付进度）</w:t>
            </w:r>
            <w:r>
              <w:rPr>
                <w:rStyle w:val="7"/>
                <w:rFonts w:eastAsia="仿宋_GB2312"/>
                <w:lang w:eastAsia="zh-CN"/>
              </w:rPr>
              <w:t>×1/6+</w:t>
            </w:r>
            <w:r>
              <w:rPr>
                <w:rStyle w:val="6"/>
                <w:rFonts w:ascii="Times New Roman"/>
                <w:lang w:eastAsia="zh-CN"/>
              </w:rPr>
              <w:t>（</w:t>
            </w:r>
            <w:r>
              <w:rPr>
                <w:rStyle w:val="7"/>
                <w:rFonts w:eastAsia="仿宋_GB2312"/>
                <w:lang w:eastAsia="zh-CN"/>
              </w:rPr>
              <w:t>11</w:t>
            </w:r>
            <w:r>
              <w:rPr>
                <w:rStyle w:val="6"/>
                <w:rFonts w:ascii="Times New Roman"/>
                <w:lang w:eastAsia="zh-CN"/>
              </w:rPr>
              <w:t>月末实际支付进度</w:t>
            </w:r>
            <w:r>
              <w:rPr>
                <w:rStyle w:val="7"/>
                <w:rFonts w:eastAsia="仿宋_GB2312"/>
                <w:lang w:eastAsia="zh-CN"/>
              </w:rPr>
              <w:t>/11</w:t>
            </w:r>
            <w:r>
              <w:rPr>
                <w:rStyle w:val="6"/>
                <w:rFonts w:ascii="Times New Roman"/>
                <w:lang w:eastAsia="zh-CN"/>
              </w:rPr>
              <w:t>月末序时支付进度）</w:t>
            </w:r>
            <w:r>
              <w:rPr>
                <w:rStyle w:val="7"/>
                <w:rFonts w:eastAsia="仿宋_GB2312"/>
                <w:lang w:eastAsia="zh-CN"/>
              </w:rPr>
              <w:t>×1/6+</w:t>
            </w:r>
            <w:r>
              <w:rPr>
                <w:rStyle w:val="6"/>
                <w:rFonts w:ascii="Times New Roman"/>
                <w:lang w:eastAsia="zh-CN"/>
              </w:rPr>
              <w:t>（</w:t>
            </w:r>
            <w:r>
              <w:rPr>
                <w:rStyle w:val="7"/>
                <w:rFonts w:eastAsia="仿宋_GB2312"/>
                <w:lang w:eastAsia="zh-CN"/>
              </w:rPr>
              <w:t>12</w:t>
            </w:r>
            <w:r>
              <w:rPr>
                <w:rStyle w:val="6"/>
                <w:rFonts w:ascii="Times New Roman"/>
                <w:lang w:eastAsia="zh-CN"/>
              </w:rPr>
              <w:t>月末实际支付进度</w:t>
            </w:r>
            <w:r>
              <w:rPr>
                <w:rStyle w:val="7"/>
                <w:rFonts w:eastAsia="仿宋_GB2312"/>
                <w:lang w:eastAsia="zh-CN"/>
              </w:rPr>
              <w:t>/95%</w:t>
            </w:r>
            <w:r>
              <w:rPr>
                <w:rStyle w:val="6"/>
                <w:rFonts w:ascii="Times New Roman"/>
                <w:lang w:eastAsia="zh-CN"/>
              </w:rPr>
              <w:t>）</w:t>
            </w:r>
            <w:r>
              <w:rPr>
                <w:rStyle w:val="7"/>
                <w:rFonts w:eastAsia="仿宋_GB2312"/>
                <w:lang w:eastAsia="zh-CN"/>
              </w:rPr>
              <w:t>×1/2</w:t>
            </w:r>
            <w:r>
              <w:rPr>
                <w:rStyle w:val="8"/>
                <w:rFonts w:hint="default" w:ascii="Times New Roman" w:hAnsi="Times New Roman" w:eastAsia="仿宋_GB2312"/>
                <w:lang w:eastAsia="zh-CN"/>
              </w:rPr>
              <w:t>。</w:t>
            </w:r>
          </w:p>
          <w:p>
            <w:pPr>
              <w:jc w:val="both"/>
              <w:textAlignment w:val="center"/>
              <w:rPr>
                <w:rStyle w:val="6"/>
                <w:rFonts w:ascii="Times New Roman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实际支付进度是指部门（单位）在某一时点的支出预算执行总数与调整预算数的比率。</w:t>
            </w:r>
            <w:r>
              <w:rPr>
                <w:rStyle w:val="7"/>
                <w:rFonts w:eastAsia="仿宋_GB2312"/>
                <w:lang w:eastAsia="zh-CN"/>
              </w:rPr>
              <w:t>6</w:t>
            </w:r>
            <w:r>
              <w:rPr>
                <w:rStyle w:val="6"/>
                <w:rFonts w:ascii="Times New Roman"/>
                <w:lang w:eastAsia="zh-CN"/>
              </w:rPr>
              <w:t>月末序时支付进度</w:t>
            </w:r>
            <w:r>
              <w:rPr>
                <w:rStyle w:val="7"/>
                <w:rFonts w:eastAsia="仿宋_GB2312"/>
                <w:lang w:eastAsia="zh-CN"/>
              </w:rPr>
              <w:t>=6/12</w:t>
            </w:r>
            <w:r>
              <w:rPr>
                <w:rStyle w:val="6"/>
                <w:rFonts w:ascii="Times New Roman"/>
                <w:lang w:eastAsia="zh-CN"/>
              </w:rPr>
              <w:t>；</w:t>
            </w:r>
            <w:r>
              <w:rPr>
                <w:rStyle w:val="7"/>
                <w:rFonts w:eastAsia="仿宋_GB2312"/>
                <w:lang w:eastAsia="zh-CN"/>
              </w:rPr>
              <w:t>9</w:t>
            </w:r>
            <w:r>
              <w:rPr>
                <w:rStyle w:val="6"/>
                <w:rFonts w:ascii="Times New Roman"/>
                <w:lang w:eastAsia="zh-CN"/>
              </w:rPr>
              <w:t>月末序时支付进度</w:t>
            </w:r>
            <w:r>
              <w:rPr>
                <w:rStyle w:val="7"/>
                <w:rFonts w:eastAsia="仿宋_GB2312"/>
                <w:lang w:eastAsia="zh-CN"/>
              </w:rPr>
              <w:t>=9/12</w:t>
            </w:r>
            <w:r>
              <w:rPr>
                <w:rStyle w:val="6"/>
                <w:rFonts w:ascii="Times New Roman"/>
                <w:lang w:eastAsia="zh-CN"/>
              </w:rPr>
              <w:t>；</w:t>
            </w:r>
            <w:r>
              <w:rPr>
                <w:rStyle w:val="7"/>
                <w:rFonts w:eastAsia="仿宋_GB2312"/>
                <w:lang w:eastAsia="zh-CN"/>
              </w:rPr>
              <w:t>11</w:t>
            </w:r>
            <w:r>
              <w:rPr>
                <w:rStyle w:val="6"/>
                <w:rFonts w:ascii="Times New Roman"/>
                <w:lang w:eastAsia="zh-CN"/>
              </w:rPr>
              <w:t>月末序时支付进度</w:t>
            </w:r>
            <w:r>
              <w:rPr>
                <w:rStyle w:val="7"/>
                <w:rFonts w:eastAsia="仿宋_GB2312"/>
                <w:lang w:eastAsia="zh-CN"/>
              </w:rPr>
              <w:t>=11/12</w:t>
            </w:r>
            <w:r>
              <w:rPr>
                <w:rStyle w:val="6"/>
                <w:rFonts w:ascii="Times New Roman"/>
                <w:lang w:eastAsia="zh-CN"/>
              </w:rPr>
              <w:t>；</w:t>
            </w:r>
            <w:r>
              <w:rPr>
                <w:rStyle w:val="7"/>
                <w:rFonts w:eastAsia="仿宋_GB2312"/>
                <w:lang w:eastAsia="zh-CN"/>
              </w:rPr>
              <w:t>12</w:t>
            </w:r>
            <w:r>
              <w:rPr>
                <w:rStyle w:val="6"/>
                <w:rFonts w:ascii="Times New Roman"/>
                <w:lang w:eastAsia="zh-CN"/>
              </w:rPr>
              <w:t>月末序时支付进度</w:t>
            </w:r>
            <w:r>
              <w:rPr>
                <w:rStyle w:val="7"/>
                <w:rFonts w:eastAsia="仿宋_GB2312"/>
                <w:lang w:eastAsia="zh-CN"/>
              </w:rPr>
              <w:t>=95%</w:t>
            </w:r>
            <w:r>
              <w:rPr>
                <w:rStyle w:val="8"/>
                <w:rFonts w:hint="default" w:ascii="Times New Roman" w:hAnsi="Times New Roman" w:eastAsia="仿宋_GB2312"/>
                <w:lang w:eastAsia="zh-CN"/>
              </w:rPr>
              <w:t>。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考察资金范围=上年结转结余资金+2019年度预算资金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1.支付进度率大于或等100%的，得满分；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2.支付进度率小于或等于60%的，不得分；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3.支付进度率在60%—100%之间的，在0分和满分之间计算确定：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得分=（实际值-60%）/40%*权重。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7"/>
                <w:rFonts w:eastAsia="仿宋_GB2312"/>
                <w:lang w:eastAsia="zh-CN"/>
              </w:rPr>
              <w:t>“</w:t>
            </w:r>
            <w:r>
              <w:rPr>
                <w:rStyle w:val="6"/>
                <w:rFonts w:ascii="Times New Roman"/>
                <w:lang w:eastAsia="zh-CN"/>
              </w:rPr>
              <w:t>三公经费</w:t>
            </w:r>
            <w:r>
              <w:rPr>
                <w:rStyle w:val="7"/>
                <w:rFonts w:eastAsia="仿宋_GB2312"/>
                <w:lang w:eastAsia="zh-CN"/>
              </w:rPr>
              <w:t>”</w:t>
            </w:r>
            <w:r>
              <w:rPr>
                <w:rStyle w:val="6"/>
                <w:rFonts w:ascii="Times New Roman"/>
                <w:lang w:eastAsia="zh-CN"/>
              </w:rPr>
              <w:t>变动率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7"/>
                <w:rFonts w:eastAsia="仿宋_GB2312"/>
                <w:lang w:eastAsia="zh-CN"/>
              </w:rPr>
              <w:t>≤0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Style w:val="7"/>
                <w:rFonts w:eastAsia="仿宋_GB2312"/>
                <w:lang w:eastAsia="zh-CN"/>
              </w:rPr>
              <w:t>≤0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7"/>
                <w:rFonts w:eastAsia="仿宋_GB2312"/>
                <w:lang w:eastAsia="zh-CN"/>
              </w:rPr>
              <w:t>“</w:t>
            </w:r>
            <w:r>
              <w:rPr>
                <w:rStyle w:val="6"/>
                <w:rFonts w:ascii="Times New Roman"/>
                <w:lang w:eastAsia="zh-CN"/>
              </w:rPr>
              <w:t>三公经费</w:t>
            </w:r>
            <w:r>
              <w:rPr>
                <w:rStyle w:val="7"/>
                <w:rFonts w:eastAsia="仿宋_GB2312"/>
                <w:lang w:eastAsia="zh-CN"/>
              </w:rPr>
              <w:t>”</w:t>
            </w:r>
            <w:r>
              <w:rPr>
                <w:rStyle w:val="6"/>
                <w:rFonts w:ascii="Times New Roman"/>
                <w:lang w:eastAsia="zh-CN"/>
              </w:rPr>
              <w:t>变动率</w:t>
            </w:r>
            <w:r>
              <w:rPr>
                <w:rStyle w:val="7"/>
                <w:rFonts w:eastAsia="仿宋_GB2312"/>
                <w:lang w:eastAsia="zh-CN"/>
              </w:rPr>
              <w:t>=[</w:t>
            </w:r>
            <w:r>
              <w:rPr>
                <w:rStyle w:val="6"/>
                <w:rFonts w:ascii="Times New Roman"/>
                <w:lang w:eastAsia="zh-CN"/>
              </w:rPr>
              <w:t>（本年度</w:t>
            </w:r>
            <w:r>
              <w:rPr>
                <w:rStyle w:val="7"/>
                <w:rFonts w:eastAsia="仿宋_GB2312"/>
                <w:lang w:eastAsia="zh-CN"/>
              </w:rPr>
              <w:t>“</w:t>
            </w:r>
            <w:r>
              <w:rPr>
                <w:rStyle w:val="6"/>
                <w:rFonts w:ascii="Times New Roman"/>
                <w:lang w:eastAsia="zh-CN"/>
              </w:rPr>
              <w:t>三公经费</w:t>
            </w:r>
            <w:r>
              <w:rPr>
                <w:rStyle w:val="7"/>
                <w:rFonts w:eastAsia="仿宋_GB2312"/>
                <w:lang w:eastAsia="zh-CN"/>
              </w:rPr>
              <w:t>”</w:t>
            </w:r>
            <w:r>
              <w:rPr>
                <w:rStyle w:val="6"/>
                <w:rFonts w:ascii="Times New Roman"/>
                <w:lang w:eastAsia="zh-CN"/>
              </w:rPr>
              <w:t>支出总额</w:t>
            </w:r>
            <w:r>
              <w:rPr>
                <w:rStyle w:val="7"/>
                <w:rFonts w:eastAsia="仿宋_GB2312"/>
                <w:lang w:eastAsia="zh-CN"/>
              </w:rPr>
              <w:t>-</w:t>
            </w:r>
            <w:r>
              <w:rPr>
                <w:rStyle w:val="6"/>
                <w:rFonts w:ascii="Times New Roman"/>
                <w:lang w:eastAsia="zh-CN"/>
              </w:rPr>
              <w:t>上年度</w:t>
            </w:r>
            <w:r>
              <w:rPr>
                <w:rStyle w:val="7"/>
                <w:rFonts w:eastAsia="仿宋_GB2312"/>
                <w:lang w:eastAsia="zh-CN"/>
              </w:rPr>
              <w:t>“</w:t>
            </w:r>
            <w:r>
              <w:rPr>
                <w:rStyle w:val="6"/>
                <w:rFonts w:ascii="Times New Roman"/>
                <w:lang w:eastAsia="zh-CN"/>
              </w:rPr>
              <w:t>三公经费</w:t>
            </w:r>
            <w:r>
              <w:rPr>
                <w:rStyle w:val="7"/>
                <w:rFonts w:eastAsia="仿宋_GB2312"/>
                <w:lang w:eastAsia="zh-CN"/>
              </w:rPr>
              <w:t>”</w:t>
            </w:r>
            <w:r>
              <w:rPr>
                <w:rStyle w:val="6"/>
                <w:rFonts w:ascii="Times New Roman"/>
                <w:lang w:eastAsia="zh-CN"/>
              </w:rPr>
              <w:t>支出总额）</w:t>
            </w:r>
            <w:r>
              <w:rPr>
                <w:rStyle w:val="7"/>
                <w:rFonts w:eastAsia="仿宋_GB2312"/>
                <w:lang w:eastAsia="zh-CN"/>
              </w:rPr>
              <w:t>/</w:t>
            </w:r>
            <w:r>
              <w:rPr>
                <w:rStyle w:val="6"/>
                <w:rFonts w:ascii="Times New Roman"/>
                <w:lang w:eastAsia="zh-CN"/>
              </w:rPr>
              <w:t>上年度</w:t>
            </w:r>
            <w:r>
              <w:rPr>
                <w:rStyle w:val="7"/>
                <w:rFonts w:eastAsia="仿宋_GB2312"/>
                <w:lang w:eastAsia="zh-CN"/>
              </w:rPr>
              <w:t>“</w:t>
            </w:r>
            <w:r>
              <w:rPr>
                <w:rStyle w:val="6"/>
                <w:rFonts w:ascii="Times New Roman"/>
                <w:lang w:eastAsia="zh-CN"/>
              </w:rPr>
              <w:t>三公经费</w:t>
            </w:r>
            <w:r>
              <w:rPr>
                <w:rStyle w:val="7"/>
                <w:rFonts w:eastAsia="仿宋_GB2312"/>
                <w:lang w:eastAsia="zh-CN"/>
              </w:rPr>
              <w:t>”</w:t>
            </w:r>
            <w:r>
              <w:rPr>
                <w:rStyle w:val="6"/>
                <w:rFonts w:ascii="Times New Roman"/>
                <w:lang w:eastAsia="zh-CN"/>
              </w:rPr>
              <w:t>支出总额</w:t>
            </w:r>
            <w:r>
              <w:rPr>
                <w:rStyle w:val="7"/>
                <w:rFonts w:eastAsia="仿宋_GB2312"/>
                <w:lang w:eastAsia="zh-CN"/>
              </w:rPr>
              <w:t>]×100%</w:t>
            </w:r>
            <w:r>
              <w:rPr>
                <w:rStyle w:val="6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实际值小于等于0得满分，每增加1%扣权重分的10%，扣完为止。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结转结余变动率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7"/>
                <w:rFonts w:eastAsia="仿宋_GB2312"/>
                <w:lang w:eastAsia="zh-CN"/>
              </w:rPr>
              <w:t>≤0</w:t>
            </w:r>
            <w:r>
              <w:rPr>
                <w:rStyle w:val="6"/>
                <w:rFonts w:ascii="Times New Roman"/>
                <w:lang w:eastAsia="zh-CN"/>
              </w:rPr>
              <w:t>　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Style w:val="7"/>
                <w:rFonts w:hint="eastAsia" w:eastAsia="仿宋_GB2312"/>
                <w:lang w:val="en-US" w:eastAsia="zh-CN"/>
              </w:rPr>
              <w:t>1</w:t>
            </w:r>
            <w:r>
              <w:rPr>
                <w:rStyle w:val="6"/>
                <w:rFonts w:ascii="Times New Roman"/>
                <w:lang w:eastAsia="zh-CN"/>
              </w:rPr>
              <w:t>　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结转结余变动率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（本年度累计结转结余资金总额</w:t>
            </w:r>
            <w:r>
              <w:rPr>
                <w:rStyle w:val="7"/>
                <w:rFonts w:eastAsia="仿宋_GB2312"/>
                <w:lang w:eastAsia="zh-CN"/>
              </w:rPr>
              <w:t>-</w:t>
            </w:r>
            <w:r>
              <w:rPr>
                <w:rStyle w:val="6"/>
                <w:rFonts w:ascii="Times New Roman"/>
                <w:lang w:eastAsia="zh-CN"/>
              </w:rPr>
              <w:t>上年度累计结转结余资金总额）</w:t>
            </w:r>
            <w:r>
              <w:rPr>
                <w:rStyle w:val="7"/>
                <w:rFonts w:eastAsia="仿宋_GB2312"/>
                <w:lang w:eastAsia="zh-CN"/>
              </w:rPr>
              <w:t>/</w:t>
            </w:r>
            <w:r>
              <w:rPr>
                <w:rStyle w:val="6"/>
                <w:rFonts w:ascii="Times New Roman"/>
                <w:lang w:eastAsia="zh-CN"/>
              </w:rPr>
              <w:t>上年度累计结转结余资金总额</w:t>
            </w:r>
            <w:r>
              <w:rPr>
                <w:rStyle w:val="7"/>
                <w:rFonts w:eastAsia="仿宋_GB2312"/>
                <w:lang w:eastAsia="zh-CN"/>
              </w:rPr>
              <w:t>×100%</w:t>
            </w:r>
            <w:r>
              <w:rPr>
                <w:rStyle w:val="6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实际值小于等于0得满分，每增加1%扣权重分的10%，扣完为止。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部门管理（</w:t>
            </w:r>
            <w:r>
              <w:rPr>
                <w:rStyle w:val="7"/>
                <w:rFonts w:eastAsia="仿宋_GB2312"/>
                <w:lang w:eastAsia="zh-CN"/>
              </w:rPr>
              <w:t>40</w:t>
            </w:r>
            <w:r>
              <w:rPr>
                <w:rStyle w:val="6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财务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问题资金占比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审计报告或整改意见书中所列示金额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问题资金占比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有问题资金额</w:t>
            </w:r>
            <w:r>
              <w:rPr>
                <w:rStyle w:val="7"/>
                <w:rFonts w:eastAsia="仿宋_GB2312"/>
                <w:lang w:eastAsia="zh-CN"/>
              </w:rPr>
              <w:t>/</w:t>
            </w:r>
            <w:r>
              <w:rPr>
                <w:rStyle w:val="6"/>
                <w:rFonts w:ascii="Times New Roman"/>
                <w:lang w:eastAsia="zh-CN"/>
              </w:rPr>
              <w:t>部门支出决算数。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问题资金指审计、监督巡查、财政监督检查等工作中发现的问题资金。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得分=（1-问题资金占比）*权重。 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采购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政府采购执行率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≥95%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95%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预算文本、部门决算报表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政府采购执行率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（实际政府采购金额</w:t>
            </w:r>
            <w:r>
              <w:rPr>
                <w:rStyle w:val="7"/>
                <w:rFonts w:eastAsia="仿宋_GB2312"/>
                <w:lang w:eastAsia="zh-CN"/>
              </w:rPr>
              <w:t>/</w:t>
            </w:r>
            <w:r>
              <w:rPr>
                <w:rStyle w:val="6"/>
                <w:rFonts w:ascii="Times New Roman"/>
                <w:lang w:eastAsia="zh-CN"/>
              </w:rPr>
              <w:t>政府采购预算数）</w:t>
            </w:r>
            <w:r>
              <w:rPr>
                <w:rStyle w:val="7"/>
                <w:rFonts w:eastAsia="仿宋_GB2312"/>
                <w:lang w:eastAsia="zh-CN"/>
              </w:rPr>
              <w:t>×100%</w:t>
            </w:r>
            <w:r>
              <w:rPr>
                <w:rStyle w:val="6"/>
                <w:rFonts w:ascii="Times New Roman"/>
                <w:lang w:eastAsia="zh-CN"/>
              </w:rPr>
              <w:t>。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政府采购预算数为调整预算数；实际政府采购金额为年末决算报表中政府采购金额。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1.政府采购执行率大于或等于95%的，得满分；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2.预算完成率小于或等于85%的，得0分；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3.预算完成率在85%—95%之间的，在0分和满分之间计算确定：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得分=（实际值-85%）/10%*权重。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7" w:hRule="atLeast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资产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资产管理规范性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规范　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Style w:val="6"/>
                <w:rFonts w:ascii="Times New Roman"/>
                <w:lang w:eastAsia="zh-CN"/>
              </w:rPr>
              <w:t>规范　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行政事业性国有资产月报系统、廊坊市资产信息管理系统、河北省公务用车信息化管理平台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评价要点：</w:t>
            </w:r>
          </w:p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7"/>
                <w:rFonts w:eastAsia="仿宋_GB2312"/>
                <w:lang w:eastAsia="zh-CN"/>
              </w:rPr>
              <w:t xml:space="preserve">1.  </w:t>
            </w:r>
            <w:r>
              <w:rPr>
                <w:rStyle w:val="6"/>
                <w:rFonts w:ascii="Times New Roman"/>
                <w:lang w:eastAsia="zh-CN"/>
              </w:rPr>
              <w:t>按照资产管理要求，是否建章立制，并严格执行：资产配置、处置程序是否规范，标准是否合理，处置是否及时等；</w:t>
            </w:r>
          </w:p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7"/>
                <w:rFonts w:eastAsia="仿宋_GB2312"/>
                <w:lang w:eastAsia="zh-CN"/>
              </w:rPr>
              <w:t xml:space="preserve">2.  </w:t>
            </w:r>
            <w:r>
              <w:rPr>
                <w:rStyle w:val="6"/>
                <w:rFonts w:ascii="Times New Roman"/>
                <w:lang w:eastAsia="zh-CN"/>
              </w:rPr>
              <w:t>按会计制度要求，是否建立资产账目，实现与财务管理相结合；</w:t>
            </w:r>
          </w:p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7"/>
                <w:rFonts w:eastAsia="仿宋_GB2312"/>
                <w:lang w:eastAsia="zh-CN"/>
              </w:rPr>
              <w:t xml:space="preserve">3.  </w:t>
            </w:r>
            <w:r>
              <w:rPr>
                <w:rStyle w:val="6"/>
                <w:rFonts w:ascii="Times New Roman"/>
                <w:lang w:eastAsia="zh-CN"/>
              </w:rPr>
              <w:t>资产月报和年报是否按照时间要求，及时、准确、完整上报；</w:t>
            </w:r>
          </w:p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7"/>
                <w:rFonts w:eastAsia="仿宋_GB2312"/>
                <w:lang w:eastAsia="zh-CN"/>
              </w:rPr>
              <w:t>4.</w:t>
            </w:r>
            <w:r>
              <w:rPr>
                <w:rStyle w:val="6"/>
                <w:rFonts w:ascii="Times New Roman"/>
                <w:lang w:eastAsia="zh-CN"/>
              </w:rPr>
              <w:t>资产信息系统数据是否及时更新，实现动态管理；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7"/>
                <w:rFonts w:eastAsia="仿宋_GB2312"/>
                <w:lang w:eastAsia="zh-CN"/>
              </w:rPr>
              <w:t>5.</w:t>
            </w:r>
            <w:r>
              <w:rPr>
                <w:rStyle w:val="6"/>
                <w:rFonts w:ascii="Times New Roman"/>
                <w:lang w:eastAsia="zh-CN"/>
              </w:rPr>
              <w:t>公务用车是否按照</w:t>
            </w:r>
            <w:r>
              <w:rPr>
                <w:rStyle w:val="7"/>
                <w:rFonts w:eastAsia="仿宋_GB2312"/>
                <w:lang w:eastAsia="zh-CN"/>
              </w:rPr>
              <w:t>“</w:t>
            </w:r>
            <w:r>
              <w:rPr>
                <w:rStyle w:val="6"/>
                <w:rFonts w:ascii="Times New Roman"/>
                <w:lang w:eastAsia="zh-CN"/>
              </w:rPr>
              <w:t>三化</w:t>
            </w:r>
            <w:r>
              <w:rPr>
                <w:rStyle w:val="7"/>
                <w:rFonts w:eastAsia="仿宋_GB2312"/>
                <w:lang w:eastAsia="zh-CN"/>
              </w:rPr>
              <w:t>”</w:t>
            </w:r>
            <w:r>
              <w:rPr>
                <w:rStyle w:val="6"/>
                <w:rFonts w:ascii="Times New Roman"/>
                <w:lang w:eastAsia="zh-CN"/>
              </w:rPr>
              <w:t>要求</w:t>
            </w:r>
            <w:r>
              <w:rPr>
                <w:rStyle w:val="7"/>
                <w:rFonts w:eastAsia="仿宋_GB2312"/>
                <w:lang w:eastAsia="zh-CN"/>
              </w:rPr>
              <w:t>,</w:t>
            </w:r>
            <w:r>
              <w:rPr>
                <w:rStyle w:val="6"/>
                <w:rFonts w:ascii="Times New Roman"/>
                <w:lang w:eastAsia="zh-CN"/>
              </w:rPr>
              <w:t>及时纳入</w:t>
            </w:r>
            <w:r>
              <w:rPr>
                <w:rStyle w:val="7"/>
                <w:rFonts w:eastAsia="仿宋_GB2312"/>
                <w:lang w:eastAsia="zh-CN"/>
              </w:rPr>
              <w:t>“</w:t>
            </w:r>
            <w:r>
              <w:rPr>
                <w:rStyle w:val="6"/>
                <w:rFonts w:ascii="Times New Roman"/>
                <w:lang w:eastAsia="zh-CN"/>
              </w:rPr>
              <w:t>全省一张网</w:t>
            </w:r>
            <w:r>
              <w:rPr>
                <w:rStyle w:val="7"/>
                <w:rFonts w:eastAsia="仿宋_GB2312"/>
                <w:lang w:eastAsia="zh-CN"/>
              </w:rPr>
              <w:t>”</w:t>
            </w:r>
            <w:r>
              <w:rPr>
                <w:rStyle w:val="6"/>
                <w:rFonts w:ascii="Times New Roman"/>
                <w:lang w:eastAsia="zh-CN"/>
              </w:rPr>
              <w:t>平台系统管理。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一项未达标扣20%权重分，扣完为止。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人员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在职人员控制率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≤100%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77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在职人员控制率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（在职人员数</w:t>
            </w:r>
            <w:r>
              <w:rPr>
                <w:rStyle w:val="7"/>
                <w:rFonts w:eastAsia="仿宋_GB2312"/>
                <w:lang w:eastAsia="zh-CN"/>
              </w:rPr>
              <w:t>/</w:t>
            </w:r>
            <w:r>
              <w:rPr>
                <w:rStyle w:val="6"/>
                <w:rFonts w:ascii="Times New Roman"/>
                <w:lang w:eastAsia="zh-CN"/>
              </w:rPr>
              <w:t>编制数）</w:t>
            </w:r>
            <w:r>
              <w:rPr>
                <w:rStyle w:val="7"/>
                <w:rFonts w:eastAsia="仿宋_GB2312"/>
                <w:lang w:eastAsia="zh-CN"/>
              </w:rPr>
              <w:t>×100%</w:t>
            </w:r>
            <w:r>
              <w:rPr>
                <w:rStyle w:val="6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实际值小于等于100%得满分，每增加1%扣权重分的10%，扣完为止。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信息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预决算信息公开性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按规定公开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Style w:val="6"/>
                <w:rFonts w:ascii="Times New Roman"/>
                <w:lang w:eastAsia="zh-CN"/>
              </w:rPr>
              <w:t>按规定公开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评价要点：</w:t>
            </w:r>
          </w:p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7"/>
                <w:rFonts w:eastAsia="仿宋_GB2312"/>
                <w:lang w:eastAsia="zh-CN"/>
              </w:rPr>
              <w:t>1.</w:t>
            </w:r>
            <w:r>
              <w:rPr>
                <w:rStyle w:val="6"/>
                <w:rFonts w:ascii="Times New Roman"/>
                <w:lang w:eastAsia="zh-CN"/>
              </w:rPr>
              <w:t>是否按规定内容公开预决算信息；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7"/>
                <w:rFonts w:eastAsia="仿宋_GB2312"/>
                <w:lang w:eastAsia="zh-CN"/>
              </w:rPr>
              <w:t>2.</w:t>
            </w:r>
            <w:r>
              <w:rPr>
                <w:rStyle w:val="6"/>
                <w:rFonts w:ascii="Times New Roman"/>
                <w:lang w:eastAsia="zh-CN"/>
              </w:rPr>
              <w:t>是否按规定时限公开预决算信息。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具备要点1实际值得50%权重分，具备要点2实际值得50%权重分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绩效信息公开性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按规定公开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Style w:val="6"/>
                <w:rFonts w:ascii="Times New Roman"/>
                <w:lang w:eastAsia="zh-CN"/>
              </w:rPr>
              <w:t>按规定公开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评价要点：</w:t>
            </w:r>
          </w:p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7"/>
                <w:rFonts w:eastAsia="仿宋_GB2312"/>
                <w:lang w:eastAsia="zh-CN"/>
              </w:rPr>
              <w:t>1.</w:t>
            </w:r>
            <w:r>
              <w:rPr>
                <w:rStyle w:val="6"/>
                <w:rFonts w:ascii="Times New Roman"/>
                <w:lang w:eastAsia="zh-CN"/>
              </w:rPr>
              <w:t>是否按规定内容公开2018年度专项项目自评结果；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7"/>
                <w:rFonts w:eastAsia="仿宋_GB2312"/>
                <w:lang w:eastAsia="zh-CN"/>
              </w:rPr>
              <w:t>2.</w:t>
            </w:r>
            <w:r>
              <w:rPr>
                <w:rStyle w:val="6"/>
                <w:rFonts w:ascii="Times New Roman"/>
                <w:lang w:eastAsia="zh-CN"/>
              </w:rPr>
              <w:t>是否按规定时限公开2018年度专项项目自评结果。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具备要点1实际值得50%权重分，具备要点2实际值得50%权重分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部门管理（</w:t>
            </w:r>
            <w:r>
              <w:rPr>
                <w:rStyle w:val="7"/>
                <w:rFonts w:eastAsia="仿宋_GB2312"/>
                <w:lang w:eastAsia="zh-CN"/>
              </w:rPr>
              <w:t>40</w:t>
            </w:r>
            <w:r>
              <w:rPr>
                <w:rStyle w:val="6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绩效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绩效目标审核通过率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一上阶段申报数据、预算文本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绩效目标审核通过率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（审核通过安排预算的专项项目数</w:t>
            </w:r>
            <w:r>
              <w:rPr>
                <w:rStyle w:val="7"/>
                <w:rFonts w:eastAsia="仿宋_GB2312"/>
                <w:lang w:eastAsia="zh-CN"/>
              </w:rPr>
              <w:t>/</w:t>
            </w:r>
            <w:r>
              <w:rPr>
                <w:rStyle w:val="6"/>
                <w:rFonts w:ascii="Times New Roman"/>
                <w:lang w:eastAsia="zh-CN"/>
              </w:rPr>
              <w:t>部门申报的专项项目数）</w:t>
            </w:r>
            <w:r>
              <w:rPr>
                <w:rStyle w:val="7"/>
                <w:rFonts w:eastAsia="仿宋_GB2312"/>
                <w:lang w:eastAsia="zh-CN"/>
              </w:rPr>
              <w:t>×100%</w:t>
            </w:r>
            <w:r>
              <w:rPr>
                <w:rStyle w:val="6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实际值为100%得满分，每降低1%扣权重分的10%，扣完为止。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绩效自评覆盖率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绩效自评覆盖率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（部门开展</w:t>
            </w:r>
            <w:r>
              <w:rPr>
                <w:rStyle w:val="7"/>
                <w:rFonts w:eastAsia="仿宋_GB2312"/>
                <w:lang w:eastAsia="zh-CN"/>
              </w:rPr>
              <w:t>2019</w:t>
            </w:r>
            <w:r>
              <w:rPr>
                <w:rStyle w:val="8"/>
                <w:rFonts w:hint="default" w:ascii="Times New Roman" w:hAnsi="Times New Roman" w:eastAsia="仿宋_GB2312"/>
                <w:lang w:eastAsia="zh-CN"/>
              </w:rPr>
              <w:t>年度</w:t>
            </w:r>
            <w:r>
              <w:rPr>
                <w:rStyle w:val="6"/>
                <w:rFonts w:ascii="Times New Roman"/>
                <w:lang w:eastAsia="zh-CN"/>
              </w:rPr>
              <w:t>专项项目自评的金额</w:t>
            </w:r>
            <w:r>
              <w:rPr>
                <w:rStyle w:val="7"/>
                <w:rFonts w:eastAsia="仿宋_GB2312"/>
                <w:lang w:eastAsia="zh-CN"/>
              </w:rPr>
              <w:t>/2019</w:t>
            </w:r>
            <w:r>
              <w:rPr>
                <w:rStyle w:val="8"/>
                <w:rFonts w:hint="default" w:ascii="Times New Roman" w:hAnsi="Times New Roman" w:eastAsia="仿宋_GB2312"/>
                <w:lang w:eastAsia="zh-CN"/>
              </w:rPr>
              <w:t>年度</w:t>
            </w:r>
            <w:r>
              <w:rPr>
                <w:rStyle w:val="6"/>
                <w:rFonts w:ascii="Times New Roman"/>
                <w:lang w:eastAsia="zh-CN"/>
              </w:rPr>
              <w:t>全部专项项目金额）</w:t>
            </w:r>
            <w:r>
              <w:rPr>
                <w:rStyle w:val="7"/>
                <w:rFonts w:eastAsia="仿宋_GB2312"/>
                <w:lang w:eastAsia="zh-CN"/>
              </w:rPr>
              <w:t>×100%</w:t>
            </w:r>
            <w:r>
              <w:rPr>
                <w:rStyle w:val="6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得分=绩效自评覆盖率*权重。 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部门产出（</w:t>
            </w:r>
            <w:r>
              <w:rPr>
                <w:rStyle w:val="7"/>
                <w:rFonts w:eastAsia="仿宋_GB2312"/>
                <w:lang w:eastAsia="zh-CN"/>
              </w:rPr>
              <w:t>40</w:t>
            </w:r>
            <w:r>
              <w:rPr>
                <w:rStyle w:val="6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数</w:t>
            </w:r>
            <w:r>
              <w:rPr>
                <w:rStyle w:val="7"/>
                <w:rFonts w:eastAsia="仿宋_GB2312"/>
                <w:lang w:eastAsia="zh-CN"/>
              </w:rPr>
              <w:t xml:space="preserve">  </w:t>
            </w:r>
            <w:r>
              <w:rPr>
                <w:rStyle w:val="6"/>
                <w:rFonts w:ascii="Times New Roman"/>
                <w:lang w:eastAsia="zh-CN"/>
              </w:rPr>
              <w:t>量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重点工作实际完成率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261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部门提供重点项目执行说明（包括本表上部分填列的重点项目完成情况、质量达标情况、及时情况的佐证材料）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重点工作实际完成率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（实际完成工作数</w:t>
            </w:r>
            <w:r>
              <w:rPr>
                <w:rStyle w:val="7"/>
                <w:rFonts w:eastAsia="仿宋_GB2312"/>
                <w:lang w:eastAsia="zh-CN"/>
              </w:rPr>
              <w:t>/</w:t>
            </w:r>
            <w:r>
              <w:rPr>
                <w:rStyle w:val="8"/>
                <w:rFonts w:hint="default" w:ascii="Times New Roman" w:hAnsi="Times New Roman" w:eastAsia="仿宋_GB2312"/>
                <w:lang w:eastAsia="zh-CN"/>
              </w:rPr>
              <w:t>计划</w:t>
            </w:r>
            <w:r>
              <w:rPr>
                <w:rStyle w:val="6"/>
                <w:rFonts w:ascii="Times New Roman"/>
                <w:lang w:eastAsia="zh-CN"/>
              </w:rPr>
              <w:t>工作数）</w:t>
            </w:r>
            <w:r>
              <w:rPr>
                <w:rStyle w:val="7"/>
                <w:rFonts w:eastAsia="仿宋_GB2312"/>
                <w:lang w:eastAsia="zh-CN"/>
              </w:rPr>
              <w:t>×100%</w:t>
            </w:r>
            <w:r>
              <w:rPr>
                <w:rStyle w:val="6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得分=重点工作实际完成率*权重 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质</w:t>
            </w:r>
            <w:r>
              <w:rPr>
                <w:rStyle w:val="7"/>
                <w:rFonts w:eastAsia="仿宋_GB2312"/>
                <w:lang w:eastAsia="zh-CN"/>
              </w:rPr>
              <w:t xml:space="preserve">  </w:t>
            </w:r>
            <w:r>
              <w:rPr>
                <w:rStyle w:val="6"/>
                <w:rFonts w:ascii="Times New Roman"/>
                <w:lang w:eastAsia="zh-CN"/>
              </w:rPr>
              <w:t>量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重点工作质量达标率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6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重点工作质量达标率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（质量达标工作数</w:t>
            </w:r>
            <w:r>
              <w:rPr>
                <w:rStyle w:val="7"/>
                <w:rFonts w:eastAsia="仿宋_GB2312"/>
                <w:lang w:eastAsia="zh-CN"/>
              </w:rPr>
              <w:t>/</w:t>
            </w:r>
            <w:r>
              <w:rPr>
                <w:rStyle w:val="6"/>
                <w:rFonts w:ascii="Times New Roman"/>
                <w:lang w:eastAsia="zh-CN"/>
              </w:rPr>
              <w:t>实际工作数）</w:t>
            </w:r>
            <w:r>
              <w:rPr>
                <w:rStyle w:val="7"/>
                <w:rFonts w:eastAsia="仿宋_GB2312"/>
                <w:lang w:eastAsia="zh-CN"/>
              </w:rPr>
              <w:t>×100%</w:t>
            </w:r>
            <w:r>
              <w:rPr>
                <w:rStyle w:val="6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得分=重点工作质量达标率*权重。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时　效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重点工作完成及时率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6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重点工作完成及时率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（及时完成工作数</w:t>
            </w:r>
            <w:r>
              <w:rPr>
                <w:rStyle w:val="7"/>
                <w:rFonts w:eastAsia="仿宋_GB2312"/>
                <w:lang w:eastAsia="zh-CN"/>
              </w:rPr>
              <w:t>/</w:t>
            </w:r>
            <w:r>
              <w:rPr>
                <w:rStyle w:val="6"/>
                <w:rFonts w:ascii="Times New Roman"/>
                <w:lang w:eastAsia="zh-CN"/>
              </w:rPr>
              <w:t>计划完成工作数）</w:t>
            </w:r>
            <w:r>
              <w:rPr>
                <w:rStyle w:val="7"/>
                <w:rFonts w:eastAsia="仿宋_GB2312"/>
                <w:lang w:eastAsia="zh-CN"/>
              </w:rPr>
              <w:t>×100%</w:t>
            </w:r>
            <w:r>
              <w:rPr>
                <w:rStyle w:val="6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8"/>
                <w:rFonts w:hint="default" w:ascii="Times New Roman" w:hAnsi="Times New Roman" w:eastAsia="仿宋_GB2312"/>
                <w:lang w:eastAsia="zh-CN"/>
              </w:rPr>
              <w:t>得分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8"/>
                <w:rFonts w:hint="default" w:ascii="Times New Roman" w:hAnsi="Times New Roman" w:eastAsia="仿宋_GB2312"/>
                <w:lang w:eastAsia="zh-CN"/>
              </w:rPr>
              <w:t>重点工作完成及时率</w:t>
            </w:r>
            <w:r>
              <w:rPr>
                <w:rStyle w:val="7"/>
                <w:rFonts w:eastAsia="仿宋_GB2312"/>
                <w:lang w:eastAsia="zh-CN"/>
              </w:rPr>
              <w:t>*</w:t>
            </w:r>
            <w:r>
              <w:rPr>
                <w:rStyle w:val="8"/>
                <w:rFonts w:hint="default" w:ascii="Times New Roman" w:hAnsi="Times New Roman" w:eastAsia="仿宋_GB2312"/>
                <w:lang w:eastAsia="zh-CN"/>
              </w:rPr>
              <w:t>权重。</w:t>
            </w:r>
            <w:r>
              <w:rPr>
                <w:rStyle w:val="7"/>
                <w:rFonts w:eastAsia="仿宋_GB2312"/>
                <w:lang w:eastAsia="zh-CN"/>
              </w:rPr>
              <w:t xml:space="preserve"> 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成　本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一般性支出压减率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＞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＞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一般性支出压减情况</w:t>
            </w:r>
            <w:r>
              <w:rPr>
                <w:rStyle w:val="7"/>
                <w:rFonts w:eastAsia="仿宋_GB2312"/>
                <w:lang w:eastAsia="zh-CN"/>
              </w:rPr>
              <w:t>按照财政部门工作要求进行计算。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实际值达到目标值要求得满分，未达要求得0分。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部门效果（</w:t>
            </w:r>
            <w:r>
              <w:rPr>
                <w:rStyle w:val="7"/>
                <w:rFonts w:eastAsia="仿宋_GB2312"/>
                <w:lang w:eastAsia="zh-CN"/>
              </w:rPr>
              <w:t>20</w:t>
            </w:r>
            <w:r>
              <w:rPr>
                <w:rStyle w:val="6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社会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效益</w:t>
            </w:r>
          </w:p>
          <w:p>
            <w:pPr>
              <w:jc w:val="center"/>
              <w:textAlignment w:val="center"/>
              <w:rPr>
                <w:rStyle w:val="6"/>
                <w:rFonts w:ascii="Times New Roman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党员</w:t>
            </w:r>
            <w:r>
              <w:rPr>
                <w:rFonts w:eastAsia="仿宋_GB2312"/>
                <w:color w:val="000000"/>
                <w:sz w:val="18"/>
                <w:szCs w:val="18"/>
              </w:rPr>
              <w:t>树立先进榜样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党员</w:t>
            </w: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能够弘扬精神树立先进榜样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党员</w:t>
            </w: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树立了先进榜样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1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部门自行提供</w:t>
            </w:r>
          </w:p>
        </w:tc>
        <w:tc>
          <w:tcPr>
            <w:tcW w:w="3889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此三项指标为设置部门整体绩效评价指标时必须考虑的共性要素，可根据部门整体绩效目标设立情况有选择地进行设置。除重点工作任务下对应的重点项目产生的效果外，还需关注部门的综合效果，与年度目标进行呼应。（所设指标个数不少于</w:t>
            </w:r>
            <w:r>
              <w:rPr>
                <w:rStyle w:val="7"/>
                <w:rFonts w:eastAsia="仿宋_GB2312"/>
                <w:lang w:eastAsia="zh-CN"/>
              </w:rPr>
              <w:t>5</w:t>
            </w:r>
            <w:r>
              <w:rPr>
                <w:rStyle w:val="6"/>
                <w:rFonts w:ascii="Times New Roman"/>
                <w:lang w:eastAsia="zh-CN"/>
              </w:rPr>
              <w:t>个）</w:t>
            </w:r>
          </w:p>
        </w:tc>
        <w:tc>
          <w:tcPr>
            <w:tcW w:w="2940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一、定量指标评分规则：与年初指标值相比，完成指标值的，记该指标所赋全部分值；对完成值高出指标值较多的，要分析原因，如果是由于年初指标值设定偏低造成的，按要按照偏离度适度扣减分值；未完成指标值的，按照完成值与指标值的比例记分。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二、定性指标评分规则：根据指标完成情况分为达成年度指标、部分达成年度指标并具有一定效果、未达成年度指标且效果较差三档，分别按照该指标对应分值区间100%-80%（含）、80%-60%（含）、60%-0（含）合理确定分值。</w:t>
            </w:r>
          </w:p>
        </w:tc>
        <w:tc>
          <w:tcPr>
            <w:tcW w:w="74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ascii="Times New Roman"/>
                <w:lang w:eastAsia="zh-CN"/>
              </w:rPr>
            </w:pPr>
          </w:p>
        </w:tc>
        <w:tc>
          <w:tcPr>
            <w:tcW w:w="534" w:type="dxa"/>
            <w:vMerge w:val="continue"/>
            <w:tcBorders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ascii="Times New Roman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优化营商环境，提高办事效率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服务能力显著提升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优化营商环境，提高办事效率</w:t>
            </w:r>
          </w:p>
        </w:tc>
        <w:tc>
          <w:tcPr>
            <w:tcW w:w="531" w:type="dxa"/>
            <w:tcBorders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6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89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94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4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ascii="Times New Roman"/>
                <w:lang w:eastAsia="zh-CN"/>
              </w:rPr>
            </w:pPr>
          </w:p>
        </w:tc>
        <w:tc>
          <w:tcPr>
            <w:tcW w:w="534" w:type="dxa"/>
            <w:vMerge w:val="continue"/>
            <w:tcBorders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ascii="Times New Roman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县直机关党建水平显著提高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=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起到一定的可持续影响 </w:t>
            </w:r>
          </w:p>
        </w:tc>
        <w:tc>
          <w:tcPr>
            <w:tcW w:w="531" w:type="dxa"/>
            <w:tcBorders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89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94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4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8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ascii="Times New Roman"/>
                <w:lang w:eastAsia="zh-CN"/>
              </w:rPr>
            </w:pPr>
          </w:p>
        </w:tc>
        <w:tc>
          <w:tcPr>
            <w:tcW w:w="534" w:type="dxa"/>
            <w:tcBorders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ascii="Times New Roman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ascii="Times New Roman"/>
                <w:lang w:eastAsia="zh-CN"/>
              </w:rPr>
              <w:t>员队伍建设质量得到提高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=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取得的实际效果</w:t>
            </w:r>
          </w:p>
        </w:tc>
        <w:tc>
          <w:tcPr>
            <w:tcW w:w="531" w:type="dxa"/>
            <w:tcBorders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部门效果（</w:t>
            </w:r>
            <w:r>
              <w:rPr>
                <w:rStyle w:val="7"/>
                <w:rFonts w:eastAsia="仿宋_GB2312"/>
                <w:lang w:eastAsia="zh-CN"/>
              </w:rPr>
              <w:t>20</w:t>
            </w:r>
            <w:r>
              <w:rPr>
                <w:rStyle w:val="6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满意度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业务指导参会满意率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≥90%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95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61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问卷调查</w:t>
            </w:r>
          </w:p>
        </w:tc>
        <w:tc>
          <w:tcPr>
            <w:tcW w:w="3889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社会公众或服务对象对部门整体工作效果的满意程度。（所设指标个数至少1个）</w:t>
            </w:r>
          </w:p>
        </w:tc>
        <w:tc>
          <w:tcPr>
            <w:tcW w:w="2940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1.满意度大于或等于90%的，得满分；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2.满意度小于或等于60%的，得0分；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3.满意度在60%—90%之间的，在0分和满分之间计算确定：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得分=（实际值-60%）/30%*权重</w:t>
            </w:r>
          </w:p>
        </w:tc>
        <w:tc>
          <w:tcPr>
            <w:tcW w:w="74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ascii="Times New Roman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ascii="Times New Roman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服务对象满意率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≥90%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95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531" w:type="dxa"/>
            <w:tcBorders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61" w:type="dxa"/>
            <w:vMerge w:val="continue"/>
            <w:tcBorders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89" w:type="dxa"/>
            <w:vMerge w:val="continue"/>
            <w:tcBorders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940" w:type="dxa"/>
            <w:vMerge w:val="continue"/>
            <w:tcBorders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48" w:type="dxa"/>
            <w:vMerge w:val="continue"/>
            <w:tcBorders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5" w:type="dxa"/>
            <w:gridSpan w:val="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合　计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525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评价结论：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项目绩效评价综合得分平均为99分，绩效评价综合等级为优。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5" w:type="dxa"/>
            <w:gridSpan w:val="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绩效指标完成的指标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全部指标均已完成。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5" w:type="dxa"/>
            <w:gridSpan w:val="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超标完成和尚未完成的绩效指标与目标值偏差程度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全部指标均已完成。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5" w:type="dxa"/>
            <w:gridSpan w:val="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超标完成和尚未完成的绩效指标原因说明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无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72" w:type="dxa"/>
            <w:gridSpan w:val="2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改进措施</w:t>
            </w:r>
          </w:p>
        </w:tc>
        <w:tc>
          <w:tcPr>
            <w:tcW w:w="2153" w:type="dxa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1.对部门预算编制、预算执行与部门决算等的措施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要以更高的标准和要求抓好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预算、预算执行和决算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，在项目预算制定、实施、监管过程中，重视项目预算绩效成果、确保项目预算达到预期绩效目标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2" w:type="dxa"/>
            <w:gridSpan w:val="2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53" w:type="dxa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2.对制度完善、人员管理、资产配置等的措施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加强学习培训，提升业务能力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2" w:type="dxa"/>
            <w:gridSpan w:val="2"/>
            <w:vMerge w:val="continue"/>
            <w:tcBorders>
              <w:bottom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53" w:type="dxa"/>
            <w:gridSpan w:val="3"/>
            <w:tcBorders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3.其他措施</w:t>
            </w:r>
          </w:p>
        </w:tc>
        <w:tc>
          <w:tcPr>
            <w:tcW w:w="9369" w:type="dxa"/>
            <w:gridSpan w:val="5"/>
            <w:tcBorders>
              <w:bottom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加大宣传力度，树立绩效管理概念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4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textAlignment w:val="bottom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填表要求：</w:t>
            </w:r>
          </w:p>
          <w:p>
            <w:pPr>
              <w:textAlignment w:val="bottom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1、年度部门（单位）预算执行情况按年度部门决算报表所列数据填写。</w:t>
            </w:r>
          </w:p>
          <w:p>
            <w:pPr>
              <w:textAlignment w:val="bottom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2、重点工作任务对应安排的重点项目部分，重点项目选择标准：单个项目资金额为150万元以上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或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项目合计资金占全部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项目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资金金额60%以上，个数要求为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占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项目总数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50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%以上。</w:t>
            </w:r>
          </w:p>
          <w:p>
            <w:pPr>
              <w:textAlignment w:val="bottom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3、部门产出部分和部门效果部分的各项指标为必须考虑的要素，可根据部门职责、全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发展重点工作设置，应主要围绕重点项目的产出效果情况来确定核心业务指标。同时，部门效益指标部分除重点工作任务下对应的重点项目产生的效果外，还需关注部门的综合效果，与年度目标进行呼应。（所设指标个数不少于5个）</w:t>
            </w:r>
          </w:p>
          <w:p>
            <w:pPr>
              <w:textAlignment w:val="bottom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4、整体绩效评价结果（绩效评级）划分为四个等次，“优”等次：90分（含）—100分、“良”等次：80分（含）—90分、“中”等次：60分（含）—80分、“差”等次：60分以下。</w:t>
            </w:r>
          </w:p>
        </w:tc>
      </w:tr>
    </w:tbl>
    <w:p>
      <w:pPr>
        <w:textAlignment w:val="center"/>
        <w:rPr>
          <w:rFonts w:hint="eastAsia" w:eastAsia="黑体"/>
          <w:color w:val="000000"/>
          <w:sz w:val="32"/>
          <w:szCs w:val="32"/>
          <w:lang w:eastAsia="zh-CN"/>
        </w:rPr>
      </w:pPr>
    </w:p>
    <w:p>
      <w:pPr>
        <w:textAlignment w:val="center"/>
        <w:rPr>
          <w:rFonts w:hint="eastAsia" w:eastAsia="黑体"/>
          <w:color w:val="000000"/>
          <w:sz w:val="32"/>
          <w:szCs w:val="32"/>
          <w:lang w:eastAsia="zh-CN"/>
        </w:rPr>
      </w:pPr>
    </w:p>
    <w:p>
      <w:pPr>
        <w:spacing w:line="584" w:lineRule="exact"/>
        <w:rPr>
          <w:rFonts w:eastAsia="仿宋_GB2312"/>
          <w:color w:val="000000"/>
          <w:sz w:val="32"/>
          <w:szCs w:val="32"/>
          <w:lang w:eastAsia="zh-CN"/>
        </w:rPr>
        <w:sectPr>
          <w:pgSz w:w="16840" w:h="11907" w:orient="landscape"/>
          <w:pgMar w:top="1531" w:right="1803" w:bottom="1531" w:left="1803" w:header="720" w:footer="720" w:gutter="0"/>
          <w:cols w:space="720" w:num="1"/>
          <w:docGrid w:linePitch="360" w:charSpace="0"/>
        </w:sectPr>
      </w:pPr>
    </w:p>
    <w:p>
      <w:pPr>
        <w:rPr>
          <w:lang w:eastAsia="zh-CN"/>
        </w:rPr>
      </w:pPr>
    </w:p>
    <w:sectPr>
      <w:pgSz w:w="11907" w:h="16840"/>
      <w:pgMar w:top="1418" w:right="1531" w:bottom="1418" w:left="153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7CA9"/>
    <w:rsid w:val="00647DDB"/>
    <w:rsid w:val="006B7CA9"/>
    <w:rsid w:val="0369615C"/>
    <w:rsid w:val="0FF92A14"/>
    <w:rsid w:val="15860C47"/>
    <w:rsid w:val="20C63ECC"/>
    <w:rsid w:val="21EF1E18"/>
    <w:rsid w:val="223D7268"/>
    <w:rsid w:val="25BB6B8A"/>
    <w:rsid w:val="263254D2"/>
    <w:rsid w:val="2A065298"/>
    <w:rsid w:val="2A0805DA"/>
    <w:rsid w:val="346A399D"/>
    <w:rsid w:val="348C50D4"/>
    <w:rsid w:val="42A95F78"/>
    <w:rsid w:val="45FC7572"/>
    <w:rsid w:val="4A743F0F"/>
    <w:rsid w:val="4AAF1202"/>
    <w:rsid w:val="4FDE36C6"/>
    <w:rsid w:val="55A47663"/>
    <w:rsid w:val="5DFA233E"/>
    <w:rsid w:val="5E153755"/>
    <w:rsid w:val="63384FE8"/>
    <w:rsid w:val="680851F6"/>
    <w:rsid w:val="6BA60C9E"/>
    <w:rsid w:val="6FB0289B"/>
    <w:rsid w:val="704B1B87"/>
    <w:rsid w:val="716A63F4"/>
    <w:rsid w:val="72EE139F"/>
    <w:rsid w:val="730201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rFonts w:ascii="Calibri" w:hAnsi="Calibri"/>
      <w:b/>
      <w:bCs/>
      <w:kern w:val="44"/>
      <w:sz w:val="44"/>
      <w:szCs w:val="24"/>
      <w:lang w:eastAsia="en-US"/>
    </w:rPr>
  </w:style>
  <w:style w:type="character" w:customStyle="1" w:styleId="6">
    <w:name w:val="font11"/>
    <w:qFormat/>
    <w:uiPriority w:val="0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7">
    <w:name w:val="font14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8">
    <w:name w:val="font1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714</Words>
  <Characters>4071</Characters>
  <Lines>33</Lines>
  <Paragraphs>9</Paragraphs>
  <TotalTime>5</TotalTime>
  <ScaleCrop>false</ScaleCrop>
  <LinksUpToDate>false</LinksUpToDate>
  <CharactersWithSpaces>4776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2020-11-20T02:46:00Z</dcterms:created>
  <dc:creator>NTKO</dc:creator>
  <cp:lastModifiedBy>建功利亚</cp:lastModifiedBy>
  <cp:lastPrinted>2020-11-26T06:18:00Z</cp:lastPrinted>
  <dcterms:modified xsi:type="dcterms:W3CDTF">2020-12-02T02:56:27Z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